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836" w:rsidRPr="00F93B86" w:rsidRDefault="00775836" w:rsidP="00932F40">
      <w:pPr>
        <w:rPr>
          <w:b/>
          <w:bCs/>
          <w:sz w:val="24"/>
          <w:szCs w:val="24"/>
        </w:rPr>
      </w:pPr>
    </w:p>
    <w:p w:rsidR="00932F40" w:rsidRPr="00F93B86" w:rsidRDefault="003C2BAF" w:rsidP="00932F40">
      <w:pPr>
        <w:rPr>
          <w:b/>
          <w:bCs/>
          <w:sz w:val="24"/>
          <w:szCs w:val="24"/>
        </w:rPr>
      </w:pPr>
      <w:r w:rsidRPr="00F93B86">
        <w:rPr>
          <w:b/>
          <w:bCs/>
          <w:sz w:val="24"/>
          <w:szCs w:val="24"/>
        </w:rPr>
        <w:t>Statement at 44</w:t>
      </w:r>
      <w:r w:rsidRPr="00F93B86">
        <w:rPr>
          <w:b/>
          <w:bCs/>
          <w:sz w:val="24"/>
          <w:szCs w:val="24"/>
          <w:vertAlign w:val="superscript"/>
        </w:rPr>
        <w:t>th</w:t>
      </w:r>
      <w:r w:rsidRPr="00F93B86">
        <w:rPr>
          <w:b/>
          <w:bCs/>
          <w:sz w:val="24"/>
          <w:szCs w:val="24"/>
        </w:rPr>
        <w:t xml:space="preserve"> session of the United Nations Human Rights Council</w:t>
      </w:r>
    </w:p>
    <w:p w:rsidR="00B95FD5" w:rsidRPr="00F93B86" w:rsidRDefault="00B95FD5" w:rsidP="00F23EBB">
      <w:pPr>
        <w:rPr>
          <w:b/>
          <w:bCs/>
          <w:sz w:val="24"/>
          <w:szCs w:val="24"/>
        </w:rPr>
      </w:pPr>
      <w:r w:rsidRPr="00F93B86">
        <w:rPr>
          <w:b/>
          <w:bCs/>
          <w:sz w:val="24"/>
          <w:szCs w:val="24"/>
        </w:rPr>
        <w:t>Item 10: Annual thematic panel discussion on technical cooperation and capacity-building - Upholding the human rights of prisoners, including women prisoners and offenders: enhancing technical cooperation and capacity-building in the implementation of the Nelson Mandela Rules and the Bangkok Rules</w:t>
      </w:r>
      <w:r w:rsidR="00932F40" w:rsidRPr="00F93B86">
        <w:rPr>
          <w:b/>
          <w:bCs/>
          <w:sz w:val="24"/>
          <w:szCs w:val="24"/>
        </w:rPr>
        <w:t xml:space="preserve"> – 15 July 2020</w:t>
      </w:r>
    </w:p>
    <w:p w:rsidR="003449CD" w:rsidRPr="00F93B86" w:rsidRDefault="003449CD" w:rsidP="00F23EBB">
      <w:pPr>
        <w:rPr>
          <w:rFonts w:cstheme="minorHAnsi"/>
          <w:sz w:val="24"/>
          <w:szCs w:val="24"/>
        </w:rPr>
      </w:pPr>
      <w:r w:rsidRPr="00F93B86">
        <w:rPr>
          <w:rFonts w:cstheme="minorHAnsi"/>
          <w:sz w:val="24"/>
          <w:szCs w:val="24"/>
        </w:rPr>
        <w:t>Thank you Madam</w:t>
      </w:r>
      <w:r w:rsidR="00701DB8">
        <w:rPr>
          <w:rFonts w:cstheme="minorHAnsi"/>
          <w:sz w:val="24"/>
          <w:szCs w:val="24"/>
        </w:rPr>
        <w:t>e</w:t>
      </w:r>
      <w:bookmarkStart w:id="0" w:name="_GoBack"/>
      <w:bookmarkEnd w:id="0"/>
      <w:r w:rsidRPr="00F93B86">
        <w:rPr>
          <w:rFonts w:cstheme="minorHAnsi"/>
          <w:sz w:val="24"/>
          <w:szCs w:val="24"/>
        </w:rPr>
        <w:t xml:space="preserve"> President. </w:t>
      </w:r>
    </w:p>
    <w:p w:rsidR="005C1A05" w:rsidRPr="00F93B86" w:rsidRDefault="005C1A05" w:rsidP="00F23EBB">
      <w:pPr>
        <w:rPr>
          <w:rFonts w:cstheme="minorHAnsi"/>
          <w:sz w:val="24"/>
          <w:szCs w:val="24"/>
        </w:rPr>
      </w:pPr>
      <w:r w:rsidRPr="00F93B86">
        <w:rPr>
          <w:rFonts w:cstheme="minorHAnsi"/>
          <w:sz w:val="24"/>
          <w:szCs w:val="24"/>
        </w:rPr>
        <w:t xml:space="preserve">The report </w:t>
      </w:r>
      <w:hyperlink r:id="rId8" w:history="1">
        <w:r w:rsidRPr="00F93B86">
          <w:rPr>
            <w:rStyle w:val="Hyperlink"/>
            <w:rFonts w:cstheme="minorHAnsi"/>
            <w:sz w:val="24"/>
            <w:szCs w:val="24"/>
          </w:rPr>
          <w:t>highlights</w:t>
        </w:r>
      </w:hyperlink>
      <w:r w:rsidRPr="00F93B86">
        <w:rPr>
          <w:rFonts w:cstheme="minorHAnsi"/>
          <w:sz w:val="24"/>
          <w:szCs w:val="24"/>
        </w:rPr>
        <w:t xml:space="preserve"> that in  many  States,  the  number  of  people  held  in pretrial  detention  is  equivalent  to  or  higher  than  that  of  convicted  prisoners. In Egypt, women human rights defenders </w:t>
      </w:r>
      <w:hyperlink r:id="rId9" w:history="1">
        <w:proofErr w:type="spellStart"/>
        <w:r w:rsidRPr="00F93B86">
          <w:rPr>
            <w:rStyle w:val="Hyperlink"/>
            <w:rFonts w:cstheme="minorHAnsi"/>
            <w:sz w:val="24"/>
            <w:szCs w:val="24"/>
          </w:rPr>
          <w:t>Solafa</w:t>
        </w:r>
        <w:proofErr w:type="spellEnd"/>
        <w:r w:rsidRPr="00F93B86">
          <w:rPr>
            <w:rStyle w:val="Hyperlink"/>
            <w:rFonts w:cstheme="minorHAnsi"/>
            <w:sz w:val="24"/>
            <w:szCs w:val="24"/>
          </w:rPr>
          <w:t xml:space="preserve"> </w:t>
        </w:r>
        <w:proofErr w:type="spellStart"/>
        <w:r w:rsidRPr="00F93B86">
          <w:rPr>
            <w:rStyle w:val="Hyperlink"/>
            <w:rFonts w:cstheme="minorHAnsi"/>
            <w:sz w:val="24"/>
            <w:szCs w:val="24"/>
          </w:rPr>
          <w:t>Magdy</w:t>
        </w:r>
        <w:proofErr w:type="spellEnd"/>
      </w:hyperlink>
      <w:r w:rsidRPr="00F93B86">
        <w:rPr>
          <w:rFonts w:cstheme="minorHAnsi"/>
          <w:sz w:val="24"/>
          <w:szCs w:val="24"/>
        </w:rPr>
        <w:t xml:space="preserve">, </w:t>
      </w:r>
      <w:hyperlink r:id="rId10" w:history="1">
        <w:proofErr w:type="spellStart"/>
        <w:r w:rsidRPr="00F93B86">
          <w:rPr>
            <w:rStyle w:val="Hyperlink"/>
            <w:rFonts w:cstheme="minorHAnsi"/>
            <w:sz w:val="24"/>
            <w:szCs w:val="24"/>
          </w:rPr>
          <w:t>Esraa</w:t>
        </w:r>
        <w:proofErr w:type="spellEnd"/>
        <w:r w:rsidRPr="00F93B86">
          <w:rPr>
            <w:rStyle w:val="Hyperlink"/>
            <w:rFonts w:cstheme="minorHAnsi"/>
            <w:sz w:val="24"/>
            <w:szCs w:val="24"/>
          </w:rPr>
          <w:t xml:space="preserve"> </w:t>
        </w:r>
        <w:proofErr w:type="spellStart"/>
        <w:r w:rsidRPr="00F93B86">
          <w:rPr>
            <w:rStyle w:val="Hyperlink"/>
            <w:rFonts w:cstheme="minorHAnsi"/>
            <w:sz w:val="24"/>
            <w:szCs w:val="24"/>
          </w:rPr>
          <w:t>AbdelFattah</w:t>
        </w:r>
        <w:proofErr w:type="spellEnd"/>
      </w:hyperlink>
      <w:r w:rsidRPr="00F93B86">
        <w:rPr>
          <w:rFonts w:cstheme="minorHAnsi"/>
          <w:sz w:val="24"/>
          <w:szCs w:val="24"/>
        </w:rPr>
        <w:t xml:space="preserve">, </w:t>
      </w:r>
      <w:hyperlink r:id="rId11" w:history="1">
        <w:r w:rsidRPr="00F93B86">
          <w:rPr>
            <w:rStyle w:val="Hyperlink"/>
            <w:rFonts w:cstheme="minorHAnsi"/>
            <w:sz w:val="24"/>
            <w:szCs w:val="24"/>
          </w:rPr>
          <w:t>Sana</w:t>
        </w:r>
        <w:r w:rsidR="000C2BF7" w:rsidRPr="00F93B86">
          <w:rPr>
            <w:rStyle w:val="Hyperlink"/>
            <w:rFonts w:cstheme="minorHAnsi"/>
            <w:sz w:val="24"/>
            <w:szCs w:val="24"/>
          </w:rPr>
          <w:t>a</w:t>
        </w:r>
        <w:r w:rsidRPr="00F93B86">
          <w:rPr>
            <w:rStyle w:val="Hyperlink"/>
            <w:rFonts w:cstheme="minorHAnsi"/>
            <w:sz w:val="24"/>
            <w:szCs w:val="24"/>
          </w:rPr>
          <w:t xml:space="preserve"> </w:t>
        </w:r>
        <w:proofErr w:type="spellStart"/>
        <w:r w:rsidRPr="00F93B86">
          <w:rPr>
            <w:rStyle w:val="Hyperlink"/>
            <w:rFonts w:cstheme="minorHAnsi"/>
            <w:sz w:val="24"/>
            <w:szCs w:val="24"/>
          </w:rPr>
          <w:t>Seif</w:t>
        </w:r>
        <w:proofErr w:type="spellEnd"/>
      </w:hyperlink>
      <w:r w:rsidRPr="00F93B86">
        <w:rPr>
          <w:rFonts w:cstheme="minorHAnsi"/>
          <w:sz w:val="24"/>
          <w:szCs w:val="24"/>
        </w:rPr>
        <w:t xml:space="preserve"> and many others are</w:t>
      </w:r>
      <w:r w:rsidR="005B6E79" w:rsidRPr="00F93B86">
        <w:rPr>
          <w:rFonts w:cstheme="minorHAnsi"/>
          <w:sz w:val="24"/>
          <w:szCs w:val="24"/>
        </w:rPr>
        <w:t xml:space="preserve"> in pre-trial detention </w:t>
      </w:r>
      <w:r w:rsidR="00F23EBB" w:rsidRPr="00F93B86">
        <w:rPr>
          <w:rFonts w:cstheme="minorHAnsi"/>
          <w:sz w:val="24"/>
          <w:szCs w:val="24"/>
        </w:rPr>
        <w:t>due to their</w:t>
      </w:r>
      <w:r w:rsidR="005B6E79" w:rsidRPr="00F93B86">
        <w:rPr>
          <w:rFonts w:cstheme="minorHAnsi"/>
          <w:sz w:val="24"/>
          <w:szCs w:val="24"/>
        </w:rPr>
        <w:t xml:space="preserve"> activism. </w:t>
      </w:r>
    </w:p>
    <w:p w:rsidR="000C2BF7" w:rsidRPr="00F93B86" w:rsidRDefault="000C2BF7" w:rsidP="00E25379">
      <w:pPr>
        <w:rPr>
          <w:rStyle w:val="lblnewsfulltext"/>
          <w:rFonts w:cstheme="minorHAnsi"/>
          <w:sz w:val="24"/>
          <w:szCs w:val="24"/>
        </w:rPr>
      </w:pPr>
      <w:r w:rsidRPr="00F93B86">
        <w:rPr>
          <w:rFonts w:cstheme="minorHAnsi"/>
          <w:sz w:val="24"/>
          <w:szCs w:val="24"/>
        </w:rPr>
        <w:t xml:space="preserve">We recall the High Commissioner’s </w:t>
      </w:r>
      <w:hyperlink r:id="rId12" w:history="1">
        <w:r w:rsidRPr="00F93B86">
          <w:rPr>
            <w:rStyle w:val="Hyperlink"/>
            <w:rFonts w:cstheme="minorHAnsi"/>
            <w:sz w:val="24"/>
            <w:szCs w:val="24"/>
          </w:rPr>
          <w:t>statement</w:t>
        </w:r>
      </w:hyperlink>
      <w:r w:rsidRPr="00F93B86">
        <w:rPr>
          <w:rFonts w:cstheme="minorHAnsi"/>
          <w:sz w:val="24"/>
          <w:szCs w:val="24"/>
        </w:rPr>
        <w:t xml:space="preserve"> on 3</w:t>
      </w:r>
      <w:r w:rsidRPr="00F93B86">
        <w:rPr>
          <w:rFonts w:cstheme="minorHAnsi"/>
          <w:sz w:val="24"/>
          <w:szCs w:val="24"/>
          <w:vertAlign w:val="superscript"/>
        </w:rPr>
        <w:t>rd</w:t>
      </w:r>
      <w:r w:rsidRPr="00F93B86">
        <w:rPr>
          <w:rFonts w:cstheme="minorHAnsi"/>
          <w:sz w:val="24"/>
          <w:szCs w:val="24"/>
        </w:rPr>
        <w:t xml:space="preserve"> April urging the Egyptian Governme</w:t>
      </w:r>
      <w:r w:rsidR="00E25379" w:rsidRPr="00F93B86">
        <w:rPr>
          <w:rFonts w:cstheme="minorHAnsi"/>
          <w:sz w:val="24"/>
          <w:szCs w:val="24"/>
        </w:rPr>
        <w:t>nt to follow the lead of other St</w:t>
      </w:r>
      <w:r w:rsidRPr="00F93B86">
        <w:rPr>
          <w:rFonts w:cstheme="minorHAnsi"/>
          <w:sz w:val="24"/>
          <w:szCs w:val="24"/>
        </w:rPr>
        <w:t xml:space="preserve">ates around the world and release </w:t>
      </w:r>
      <w:r w:rsidRPr="00F93B86">
        <w:rPr>
          <w:rFonts w:cstheme="minorHAnsi"/>
          <w:i/>
          <w:iCs/>
          <w:sz w:val="24"/>
          <w:szCs w:val="24"/>
        </w:rPr>
        <w:t>those convicted of non-violent offences and</w:t>
      </w:r>
      <w:r w:rsidRPr="00F93B86">
        <w:rPr>
          <w:rFonts w:cstheme="minorHAnsi"/>
          <w:sz w:val="24"/>
          <w:szCs w:val="24"/>
        </w:rPr>
        <w:t xml:space="preserve"> those who are in pre-trial detention, and in particular </w:t>
      </w:r>
      <w:r w:rsidRPr="00F93B86">
        <w:rPr>
          <w:rStyle w:val="lblnewsfulltext"/>
          <w:rFonts w:cstheme="minorHAnsi"/>
          <w:sz w:val="24"/>
          <w:szCs w:val="24"/>
        </w:rPr>
        <w:t>those who are arbitrarily detained due to their political or human rights work.</w:t>
      </w:r>
    </w:p>
    <w:p w:rsidR="006F5EE0" w:rsidRPr="00F93B86" w:rsidRDefault="006F5EE0" w:rsidP="00E25379">
      <w:pPr>
        <w:rPr>
          <w:rFonts w:cstheme="minorHAnsi"/>
          <w:sz w:val="24"/>
          <w:szCs w:val="24"/>
        </w:rPr>
      </w:pPr>
      <w:r w:rsidRPr="00F93B86">
        <w:rPr>
          <w:rStyle w:val="lblnewsfulltext"/>
          <w:rFonts w:cstheme="minorHAnsi"/>
          <w:sz w:val="24"/>
          <w:szCs w:val="24"/>
        </w:rPr>
        <w:t xml:space="preserve">Madame </w:t>
      </w:r>
      <w:r w:rsidR="00D01B6D" w:rsidRPr="00F93B86">
        <w:rPr>
          <w:rStyle w:val="lblnewsfulltext"/>
          <w:rFonts w:cstheme="minorHAnsi"/>
          <w:sz w:val="24"/>
          <w:szCs w:val="24"/>
        </w:rPr>
        <w:t>President</w:t>
      </w:r>
      <w:r w:rsidRPr="00F93B86">
        <w:rPr>
          <w:rStyle w:val="lblnewsfulltext"/>
          <w:rFonts w:cstheme="minorHAnsi"/>
          <w:sz w:val="24"/>
          <w:szCs w:val="24"/>
        </w:rPr>
        <w:t xml:space="preserve">, </w:t>
      </w:r>
    </w:p>
    <w:p w:rsidR="00272064" w:rsidRPr="00F93B86" w:rsidRDefault="00070277" w:rsidP="00272064">
      <w:pPr>
        <w:rPr>
          <w:rFonts w:cstheme="minorHAnsi"/>
          <w:sz w:val="24"/>
          <w:szCs w:val="24"/>
        </w:rPr>
      </w:pPr>
      <w:r w:rsidRPr="00F93B86">
        <w:rPr>
          <w:rFonts w:cstheme="minorHAnsi"/>
          <w:sz w:val="24"/>
          <w:szCs w:val="24"/>
        </w:rPr>
        <w:t xml:space="preserve">The </w:t>
      </w:r>
      <w:r w:rsidR="00A21506" w:rsidRPr="00F93B86">
        <w:rPr>
          <w:rFonts w:cstheme="minorHAnsi"/>
          <w:sz w:val="24"/>
          <w:szCs w:val="24"/>
        </w:rPr>
        <w:t xml:space="preserve">Nelson Mandela and the </w:t>
      </w:r>
      <w:r w:rsidRPr="00F93B86">
        <w:rPr>
          <w:rFonts w:cstheme="minorHAnsi"/>
          <w:sz w:val="24"/>
          <w:szCs w:val="24"/>
        </w:rPr>
        <w:t>Bangkok Rules</w:t>
      </w:r>
      <w:r w:rsidR="00EC6F9C" w:rsidRPr="00F93B86">
        <w:rPr>
          <w:rFonts w:cstheme="minorHAnsi"/>
          <w:sz w:val="24"/>
          <w:szCs w:val="24"/>
        </w:rPr>
        <w:t xml:space="preserve"> </w:t>
      </w:r>
      <w:r w:rsidR="00E25379" w:rsidRPr="00F93B86">
        <w:rPr>
          <w:rFonts w:cstheme="minorHAnsi"/>
          <w:sz w:val="24"/>
          <w:szCs w:val="24"/>
        </w:rPr>
        <w:t>provide valuable guidance</w:t>
      </w:r>
      <w:r w:rsidR="000E03F6" w:rsidRPr="00F93B86">
        <w:rPr>
          <w:rFonts w:cstheme="minorHAnsi"/>
          <w:sz w:val="24"/>
          <w:szCs w:val="24"/>
        </w:rPr>
        <w:t xml:space="preserve"> to States</w:t>
      </w:r>
      <w:r w:rsidR="00E25379" w:rsidRPr="00F93B86">
        <w:rPr>
          <w:rFonts w:cstheme="minorHAnsi"/>
          <w:sz w:val="24"/>
          <w:szCs w:val="24"/>
        </w:rPr>
        <w:t xml:space="preserve"> on a </w:t>
      </w:r>
      <w:r w:rsidR="000E03F6" w:rsidRPr="00F93B86">
        <w:rPr>
          <w:rFonts w:cstheme="minorHAnsi"/>
          <w:sz w:val="24"/>
          <w:szCs w:val="24"/>
        </w:rPr>
        <w:t>wide variety of issues</w:t>
      </w:r>
      <w:r w:rsidR="00EC6F9C" w:rsidRPr="00F93B86">
        <w:rPr>
          <w:rFonts w:cstheme="minorHAnsi"/>
          <w:sz w:val="24"/>
          <w:szCs w:val="24"/>
        </w:rPr>
        <w:t xml:space="preserve">, including on the rights of prisoners to communicate with the outside world, personal hygiene and medical care. </w:t>
      </w:r>
    </w:p>
    <w:p w:rsidR="00002AE3" w:rsidRPr="00F93B86" w:rsidRDefault="00EC6F9C" w:rsidP="00DD549E">
      <w:pPr>
        <w:rPr>
          <w:rFonts w:cstheme="minorHAnsi"/>
          <w:sz w:val="24"/>
          <w:szCs w:val="24"/>
        </w:rPr>
      </w:pPr>
      <w:r w:rsidRPr="00F93B86">
        <w:rPr>
          <w:rFonts w:cstheme="minorHAnsi"/>
          <w:sz w:val="24"/>
          <w:szCs w:val="24"/>
        </w:rPr>
        <w:t xml:space="preserve">Since COVID-19, Egypt halted prison visits and prison authorities are not consistent in allowing the delivery of supplies brought by their families; leaving them in full communication blackout </w:t>
      </w:r>
      <w:r w:rsidR="00DE6F74" w:rsidRPr="00F93B86">
        <w:rPr>
          <w:rFonts w:cstheme="minorHAnsi"/>
          <w:sz w:val="24"/>
          <w:szCs w:val="24"/>
        </w:rPr>
        <w:t xml:space="preserve">both in prisons and police stations, </w:t>
      </w:r>
      <w:r w:rsidRPr="00F93B86">
        <w:rPr>
          <w:rFonts w:cstheme="minorHAnsi"/>
          <w:sz w:val="24"/>
          <w:szCs w:val="24"/>
        </w:rPr>
        <w:t>and without access to clean food, hygiene products, medication, clothing an</w:t>
      </w:r>
      <w:r w:rsidR="00DE6F74" w:rsidRPr="00F93B86">
        <w:rPr>
          <w:rFonts w:cstheme="minorHAnsi"/>
          <w:sz w:val="24"/>
          <w:szCs w:val="24"/>
        </w:rPr>
        <w:t>d other basic needs that prisons and police stations</w:t>
      </w:r>
      <w:r w:rsidRPr="00F93B86">
        <w:rPr>
          <w:rFonts w:cstheme="minorHAnsi"/>
          <w:sz w:val="24"/>
          <w:szCs w:val="24"/>
        </w:rPr>
        <w:t xml:space="preserve"> do not provide. </w:t>
      </w:r>
      <w:r w:rsidR="002121B6" w:rsidRPr="00F93B86">
        <w:rPr>
          <w:rFonts w:cstheme="minorHAnsi"/>
          <w:sz w:val="24"/>
          <w:szCs w:val="24"/>
        </w:rPr>
        <w:t xml:space="preserve">We urge </w:t>
      </w:r>
      <w:r w:rsidR="0099705E" w:rsidRPr="00F93B86">
        <w:rPr>
          <w:rFonts w:cstheme="minorHAnsi"/>
          <w:sz w:val="24"/>
          <w:szCs w:val="24"/>
        </w:rPr>
        <w:t>Egypt</w:t>
      </w:r>
      <w:r w:rsidR="002121B6" w:rsidRPr="00F93B86">
        <w:rPr>
          <w:rFonts w:cstheme="minorHAnsi"/>
          <w:sz w:val="24"/>
          <w:szCs w:val="24"/>
        </w:rPr>
        <w:t xml:space="preserve"> to guarantee prisoners’ right to contact their families on </w:t>
      </w:r>
      <w:r w:rsidR="0099705E" w:rsidRPr="00F93B86">
        <w:rPr>
          <w:rFonts w:cstheme="minorHAnsi"/>
          <w:sz w:val="24"/>
          <w:szCs w:val="24"/>
        </w:rPr>
        <w:t>a regular and continuous basis by phone</w:t>
      </w:r>
      <w:r w:rsidR="002121B6" w:rsidRPr="00F93B86">
        <w:rPr>
          <w:rFonts w:cstheme="minorHAnsi"/>
          <w:sz w:val="24"/>
          <w:szCs w:val="24"/>
        </w:rPr>
        <w:t>, and to ease sending and receiving letters, food and medical supplies to them.</w:t>
      </w:r>
    </w:p>
    <w:p w:rsidR="00193946" w:rsidRPr="00F93B86" w:rsidRDefault="006F5EE0" w:rsidP="000F0C0B">
      <w:pPr>
        <w:rPr>
          <w:rFonts w:cstheme="minorHAnsi"/>
          <w:sz w:val="24"/>
          <w:szCs w:val="24"/>
        </w:rPr>
      </w:pPr>
      <w:r w:rsidRPr="00F93B86">
        <w:rPr>
          <w:rFonts w:cstheme="minorHAnsi"/>
          <w:sz w:val="24"/>
          <w:szCs w:val="24"/>
        </w:rPr>
        <w:t xml:space="preserve">The High Commissioner recommends in the report that while  the  effective  management  of  prisons  requires  adequate  resources,  many of  the  Bangkok  and  Mandela  Rules  do  not  require  additional  resources  for  their implementation, but rather a commitment to the revision of laws and policies. </w:t>
      </w:r>
      <w:r w:rsidR="00960D22" w:rsidRPr="00F93B86">
        <w:rPr>
          <w:rFonts w:cstheme="minorHAnsi"/>
          <w:sz w:val="24"/>
          <w:szCs w:val="24"/>
        </w:rPr>
        <w:t xml:space="preserve">In addition, </w:t>
      </w:r>
      <w:r w:rsidR="00960D22" w:rsidRPr="00F93B86">
        <w:rPr>
          <w:rFonts w:cstheme="minorHAnsi"/>
          <w:i/>
          <w:iCs/>
          <w:sz w:val="24"/>
          <w:szCs w:val="24"/>
        </w:rPr>
        <w:t>Human Rights Council</w:t>
      </w:r>
      <w:r w:rsidR="00960D22" w:rsidRPr="00F93B86">
        <w:rPr>
          <w:rFonts w:cstheme="minorHAnsi"/>
          <w:sz w:val="24"/>
          <w:szCs w:val="24"/>
        </w:rPr>
        <w:t xml:space="preserve"> </w:t>
      </w:r>
      <w:r w:rsidR="00047946" w:rsidRPr="00F93B86">
        <w:rPr>
          <w:rFonts w:cstheme="minorHAnsi"/>
          <w:sz w:val="24"/>
          <w:szCs w:val="24"/>
        </w:rPr>
        <w:t xml:space="preserve">Resolution 42/32 </w:t>
      </w:r>
      <w:hyperlink r:id="rId13" w:history="1">
        <w:r w:rsidR="00047946" w:rsidRPr="00F93B86">
          <w:rPr>
            <w:rStyle w:val="Hyperlink"/>
            <w:rFonts w:cstheme="minorHAnsi"/>
            <w:sz w:val="24"/>
            <w:szCs w:val="24"/>
          </w:rPr>
          <w:t>reaffirms</w:t>
        </w:r>
      </w:hyperlink>
      <w:r w:rsidR="00047946" w:rsidRPr="00F93B86">
        <w:rPr>
          <w:rFonts w:cstheme="minorHAnsi"/>
          <w:sz w:val="24"/>
          <w:szCs w:val="24"/>
        </w:rPr>
        <w:t xml:space="preserve"> that “technical cooperation should remain an inclusive exercise that engages and involves all national stakeholders, including government agencies, national human rights institutions and civil society”.  </w:t>
      </w:r>
      <w:r w:rsidR="00960D22" w:rsidRPr="00F93B86">
        <w:rPr>
          <w:rFonts w:cstheme="minorHAnsi"/>
          <w:sz w:val="24"/>
          <w:szCs w:val="24"/>
        </w:rPr>
        <w:t xml:space="preserve">In this regard, </w:t>
      </w:r>
      <w:r w:rsidR="00193946" w:rsidRPr="00F93B86">
        <w:rPr>
          <w:rFonts w:cstheme="minorHAnsi"/>
          <w:sz w:val="24"/>
          <w:szCs w:val="24"/>
        </w:rPr>
        <w:t xml:space="preserve">Egyptian </w:t>
      </w:r>
      <w:r w:rsidR="00346954" w:rsidRPr="00F93B86">
        <w:rPr>
          <w:rFonts w:cstheme="minorHAnsi"/>
          <w:sz w:val="24"/>
          <w:szCs w:val="24"/>
        </w:rPr>
        <w:t>defenders</w:t>
      </w:r>
      <w:r w:rsidR="00193946" w:rsidRPr="00F93B86">
        <w:rPr>
          <w:rFonts w:cstheme="minorHAnsi"/>
          <w:sz w:val="24"/>
          <w:szCs w:val="24"/>
        </w:rPr>
        <w:t xml:space="preserve"> have made repeated calls</w:t>
      </w:r>
      <w:r w:rsidR="00193946" w:rsidRPr="00F93B86">
        <w:rPr>
          <w:rStyle w:val="FootnoteReference"/>
          <w:rFonts w:cstheme="minorHAnsi"/>
          <w:sz w:val="24"/>
          <w:szCs w:val="24"/>
        </w:rPr>
        <w:footnoteReference w:id="1"/>
      </w:r>
      <w:r w:rsidR="00193946" w:rsidRPr="00F93B86">
        <w:rPr>
          <w:rFonts w:cstheme="minorHAnsi"/>
          <w:sz w:val="24"/>
          <w:szCs w:val="24"/>
        </w:rPr>
        <w:t xml:space="preserve"> on the government </w:t>
      </w:r>
      <w:r w:rsidR="00193946" w:rsidRPr="00F93B86">
        <w:rPr>
          <w:rFonts w:cstheme="minorHAnsi"/>
          <w:sz w:val="24"/>
          <w:szCs w:val="24"/>
          <w:lang w:val="en-GB"/>
        </w:rPr>
        <w:lastRenderedPageBreak/>
        <w:t xml:space="preserve">to uphold the human rights of prisoners, including women, </w:t>
      </w:r>
      <w:r w:rsidR="000F0C0B" w:rsidRPr="00F93B86">
        <w:rPr>
          <w:rFonts w:cstheme="minorHAnsi"/>
          <w:i/>
          <w:iCs/>
          <w:sz w:val="24"/>
          <w:szCs w:val="24"/>
          <w:lang w:val="en-GB"/>
        </w:rPr>
        <w:t xml:space="preserve">and </w:t>
      </w:r>
      <w:r w:rsidR="00193946" w:rsidRPr="00F93B86">
        <w:rPr>
          <w:rFonts w:cstheme="minorHAnsi"/>
          <w:i/>
          <w:iCs/>
          <w:sz w:val="24"/>
          <w:szCs w:val="24"/>
          <w:lang w:val="en-GB"/>
        </w:rPr>
        <w:t>the implementation of the Nelson Mandela Rules and the Bangkok Rules.</w:t>
      </w:r>
    </w:p>
    <w:p w:rsidR="00180196" w:rsidRPr="00F93B86" w:rsidRDefault="002121B6" w:rsidP="006961D7">
      <w:pPr>
        <w:rPr>
          <w:rFonts w:cstheme="minorHAnsi"/>
          <w:sz w:val="24"/>
          <w:szCs w:val="24"/>
        </w:rPr>
      </w:pPr>
      <w:r w:rsidRPr="00F93B86">
        <w:rPr>
          <w:rFonts w:cstheme="minorHAnsi"/>
          <w:sz w:val="24"/>
          <w:szCs w:val="24"/>
        </w:rPr>
        <w:t>In conclusion, defenders should not be in pris</w:t>
      </w:r>
      <w:r w:rsidR="006961D7" w:rsidRPr="00F93B86">
        <w:rPr>
          <w:rFonts w:cstheme="minorHAnsi"/>
          <w:sz w:val="24"/>
          <w:szCs w:val="24"/>
        </w:rPr>
        <w:t xml:space="preserve">on in the first place. We urge </w:t>
      </w:r>
      <w:r w:rsidR="00E25379" w:rsidRPr="00F93B86">
        <w:rPr>
          <w:rFonts w:cstheme="minorHAnsi"/>
          <w:sz w:val="24"/>
          <w:szCs w:val="24"/>
        </w:rPr>
        <w:t xml:space="preserve">Egypt </w:t>
      </w:r>
      <w:proofErr w:type="gramStart"/>
      <w:r w:rsidR="00193946" w:rsidRPr="00F93B86">
        <w:rPr>
          <w:rFonts w:cstheme="minorHAnsi"/>
          <w:sz w:val="24"/>
          <w:szCs w:val="24"/>
        </w:rPr>
        <w:t xml:space="preserve">to </w:t>
      </w:r>
      <w:r w:rsidR="00E25379" w:rsidRPr="00F93B86">
        <w:rPr>
          <w:rFonts w:cstheme="minorHAnsi"/>
          <w:sz w:val="24"/>
          <w:szCs w:val="24"/>
        </w:rPr>
        <w:t>immediately and unconditionally release</w:t>
      </w:r>
      <w:proofErr w:type="gramEnd"/>
      <w:r w:rsidR="00E25379" w:rsidRPr="00F93B86">
        <w:rPr>
          <w:rFonts w:cstheme="minorHAnsi"/>
          <w:sz w:val="24"/>
          <w:szCs w:val="24"/>
        </w:rPr>
        <w:t xml:space="preserve"> all those detained for exercising their human rights </w:t>
      </w:r>
      <w:r w:rsidRPr="00F93B86">
        <w:rPr>
          <w:rFonts w:cstheme="minorHAnsi"/>
          <w:sz w:val="24"/>
          <w:szCs w:val="24"/>
        </w:rPr>
        <w:t xml:space="preserve">and </w:t>
      </w:r>
      <w:r w:rsidR="00E25379" w:rsidRPr="00F93B86">
        <w:rPr>
          <w:rFonts w:cstheme="minorHAnsi"/>
          <w:sz w:val="24"/>
          <w:szCs w:val="24"/>
        </w:rPr>
        <w:t>to stop using pre-trial detention as a punishment</w:t>
      </w:r>
      <w:r w:rsidRPr="00F93B86">
        <w:rPr>
          <w:rFonts w:cstheme="minorHAnsi"/>
          <w:sz w:val="24"/>
          <w:szCs w:val="24"/>
        </w:rPr>
        <w:t xml:space="preserve">. </w:t>
      </w:r>
    </w:p>
    <w:p w:rsidR="002121B6" w:rsidRPr="00F93B86" w:rsidRDefault="006F5EE0" w:rsidP="006961D7">
      <w:pPr>
        <w:rPr>
          <w:rFonts w:cstheme="minorHAnsi"/>
          <w:sz w:val="24"/>
          <w:szCs w:val="24"/>
        </w:rPr>
      </w:pPr>
      <w:r w:rsidRPr="00F93B86">
        <w:rPr>
          <w:rFonts w:cstheme="minorHAnsi"/>
          <w:sz w:val="24"/>
          <w:szCs w:val="24"/>
        </w:rPr>
        <w:t xml:space="preserve">We </w:t>
      </w:r>
      <w:hyperlink r:id="rId14" w:history="1">
        <w:r w:rsidRPr="00F93B86">
          <w:rPr>
            <w:rStyle w:val="Hyperlink"/>
            <w:rFonts w:cstheme="minorHAnsi"/>
            <w:sz w:val="24"/>
            <w:szCs w:val="24"/>
          </w:rPr>
          <w:t>recall</w:t>
        </w:r>
      </w:hyperlink>
      <w:r w:rsidRPr="00F93B86">
        <w:rPr>
          <w:rFonts w:cstheme="minorHAnsi"/>
          <w:sz w:val="24"/>
          <w:szCs w:val="24"/>
        </w:rPr>
        <w:t xml:space="preserve"> that a</w:t>
      </w:r>
      <w:r w:rsidR="0045518C" w:rsidRPr="00F93B86">
        <w:rPr>
          <w:rFonts w:cstheme="minorHAnsi"/>
          <w:sz w:val="24"/>
          <w:szCs w:val="24"/>
        </w:rPr>
        <w:t xml:space="preserve">ll of the </w:t>
      </w:r>
      <w:r w:rsidR="004504B8" w:rsidRPr="00F93B86">
        <w:rPr>
          <w:rFonts w:cstheme="minorHAnsi"/>
          <w:sz w:val="24"/>
          <w:szCs w:val="24"/>
        </w:rPr>
        <w:t>defenders</w:t>
      </w:r>
      <w:r w:rsidR="0045518C" w:rsidRPr="00F93B86">
        <w:rPr>
          <w:rFonts w:cstheme="minorHAnsi"/>
          <w:sz w:val="24"/>
          <w:szCs w:val="24"/>
        </w:rPr>
        <w:t xml:space="preserve"> that the Special Procedures</w:t>
      </w:r>
      <w:r w:rsidR="004504B8" w:rsidRPr="00F93B86">
        <w:rPr>
          <w:rFonts w:cstheme="minorHAnsi"/>
          <w:sz w:val="24"/>
          <w:szCs w:val="24"/>
        </w:rPr>
        <w:t xml:space="preserve"> and the High Commissioner called for their release </w:t>
      </w:r>
      <w:r w:rsidR="0045518C" w:rsidRPr="00F93B86">
        <w:rPr>
          <w:rFonts w:cstheme="minorHAnsi"/>
          <w:sz w:val="24"/>
          <w:szCs w:val="24"/>
        </w:rPr>
        <w:t>since September 2019 are still in pre-trial detention.</w:t>
      </w:r>
      <w:r w:rsidR="00B60D73" w:rsidRPr="00F93B86">
        <w:rPr>
          <w:rStyle w:val="FootnoteReference"/>
          <w:rFonts w:cstheme="minorHAnsi"/>
          <w:sz w:val="24"/>
          <w:szCs w:val="24"/>
        </w:rPr>
        <w:footnoteReference w:id="2"/>
      </w:r>
      <w:r w:rsidR="0045518C" w:rsidRPr="00F93B86">
        <w:rPr>
          <w:rFonts w:cstheme="minorHAnsi"/>
          <w:sz w:val="24"/>
          <w:szCs w:val="24"/>
        </w:rPr>
        <w:t xml:space="preserve"> </w:t>
      </w:r>
      <w:r w:rsidR="002121B6" w:rsidRPr="00F93B86">
        <w:rPr>
          <w:rFonts w:cstheme="minorHAnsi"/>
          <w:sz w:val="24"/>
          <w:szCs w:val="24"/>
        </w:rPr>
        <w:t xml:space="preserve">We urge the </w:t>
      </w:r>
      <w:r w:rsidR="0045518C" w:rsidRPr="00F93B86">
        <w:rPr>
          <w:rFonts w:cstheme="minorHAnsi"/>
          <w:sz w:val="24"/>
          <w:szCs w:val="24"/>
        </w:rPr>
        <w:t>High Commissioner and Special Procedures</w:t>
      </w:r>
      <w:r w:rsidR="002121B6" w:rsidRPr="00F93B86">
        <w:rPr>
          <w:rFonts w:cstheme="minorHAnsi"/>
          <w:sz w:val="24"/>
          <w:szCs w:val="24"/>
        </w:rPr>
        <w:t xml:space="preserve"> to </w:t>
      </w:r>
      <w:r w:rsidR="004504B8" w:rsidRPr="00F93B86">
        <w:rPr>
          <w:rFonts w:cstheme="minorHAnsi"/>
          <w:sz w:val="24"/>
          <w:szCs w:val="24"/>
        </w:rPr>
        <w:t xml:space="preserve">continuing calling publicly on </w:t>
      </w:r>
      <w:r w:rsidR="006961D7" w:rsidRPr="00F93B86">
        <w:rPr>
          <w:rFonts w:cstheme="minorHAnsi"/>
          <w:sz w:val="24"/>
          <w:szCs w:val="24"/>
        </w:rPr>
        <w:t>Egypt</w:t>
      </w:r>
      <w:r w:rsidR="004504B8" w:rsidRPr="00F93B86">
        <w:rPr>
          <w:rFonts w:cstheme="minorHAnsi"/>
          <w:sz w:val="24"/>
          <w:szCs w:val="24"/>
        </w:rPr>
        <w:t xml:space="preserve"> to release them. </w:t>
      </w:r>
    </w:p>
    <w:sectPr w:rsidR="002121B6" w:rsidRPr="00F93B86" w:rsidSect="00775836">
      <w:headerReference w:type="default" r:id="rId15"/>
      <w:pgSz w:w="12240" w:h="15840"/>
      <w:pgMar w:top="1440" w:right="1440" w:bottom="1440" w:left="1440"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B4F" w:rsidRDefault="00956B4F" w:rsidP="00193946">
      <w:pPr>
        <w:spacing w:after="0" w:line="240" w:lineRule="auto"/>
      </w:pPr>
      <w:r>
        <w:separator/>
      </w:r>
    </w:p>
  </w:endnote>
  <w:endnote w:type="continuationSeparator" w:id="0">
    <w:p w:rsidR="00956B4F" w:rsidRDefault="00956B4F" w:rsidP="0019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B4F" w:rsidRDefault="00956B4F" w:rsidP="00193946">
      <w:pPr>
        <w:spacing w:after="0" w:line="240" w:lineRule="auto"/>
      </w:pPr>
      <w:r>
        <w:separator/>
      </w:r>
    </w:p>
  </w:footnote>
  <w:footnote w:type="continuationSeparator" w:id="0">
    <w:p w:rsidR="00956B4F" w:rsidRDefault="00956B4F" w:rsidP="00193946">
      <w:pPr>
        <w:spacing w:after="0" w:line="240" w:lineRule="auto"/>
      </w:pPr>
      <w:r>
        <w:continuationSeparator/>
      </w:r>
    </w:p>
  </w:footnote>
  <w:footnote w:id="1">
    <w:p w:rsidR="00193946" w:rsidRPr="00193946" w:rsidRDefault="00193946" w:rsidP="0099705E">
      <w:pPr>
        <w:pStyle w:val="FootnoteText"/>
      </w:pPr>
      <w:r>
        <w:rPr>
          <w:rStyle w:val="FootnoteReference"/>
        </w:rPr>
        <w:footnoteRef/>
      </w:r>
      <w:r>
        <w:t xml:space="preserve"> Nazra’s Proposal for Urgent Measures Concerning Egyptian Women Prisoners in Light of the COVID-19 Pandemic (</w:t>
      </w:r>
      <w:hyperlink r:id="rId1" w:history="1">
        <w:r w:rsidRPr="00193946">
          <w:rPr>
            <w:rStyle w:val="Hyperlink"/>
          </w:rPr>
          <w:t>EN</w:t>
        </w:r>
      </w:hyperlink>
      <w:r>
        <w:t xml:space="preserve">, </w:t>
      </w:r>
      <w:hyperlink r:id="rId2" w:history="1">
        <w:r w:rsidRPr="00193946">
          <w:rPr>
            <w:rStyle w:val="Hyperlink"/>
          </w:rPr>
          <w:t>AR</w:t>
        </w:r>
      </w:hyperlink>
      <w:r>
        <w:t>); Egyptian Front for Human Rights report on Al-</w:t>
      </w:r>
      <w:proofErr w:type="spellStart"/>
      <w:r>
        <w:t>Qanater</w:t>
      </w:r>
      <w:proofErr w:type="spellEnd"/>
      <w:r>
        <w:t xml:space="preserve"> female prison (</w:t>
      </w:r>
      <w:hyperlink r:id="rId3" w:history="1">
        <w:r w:rsidRPr="00193946">
          <w:rPr>
            <w:rStyle w:val="Hyperlink"/>
          </w:rPr>
          <w:t>EN</w:t>
        </w:r>
      </w:hyperlink>
      <w:r>
        <w:t xml:space="preserve">, </w:t>
      </w:r>
      <w:hyperlink r:id="rId4" w:history="1">
        <w:r w:rsidRPr="00977ECA">
          <w:rPr>
            <w:rStyle w:val="Hyperlink"/>
          </w:rPr>
          <w:t>AR</w:t>
        </w:r>
      </w:hyperlink>
      <w:r>
        <w:t xml:space="preserve">) ; </w:t>
      </w:r>
      <w:r w:rsidR="0099705E">
        <w:t>Joint statement following COVID-19 (</w:t>
      </w:r>
      <w:hyperlink r:id="rId5" w:history="1">
        <w:r w:rsidR="0099705E" w:rsidRPr="0099705E">
          <w:rPr>
            <w:rStyle w:val="Hyperlink"/>
          </w:rPr>
          <w:t>EN</w:t>
        </w:r>
      </w:hyperlink>
      <w:r w:rsidR="0099705E">
        <w:t xml:space="preserve">, </w:t>
      </w:r>
      <w:hyperlink r:id="rId6" w:history="1">
        <w:r w:rsidR="0099705E" w:rsidRPr="0099705E">
          <w:rPr>
            <w:rStyle w:val="Hyperlink"/>
          </w:rPr>
          <w:t>AR</w:t>
        </w:r>
      </w:hyperlink>
      <w:r w:rsidR="0099705E">
        <w:t>); Joint statement on access to prisons (</w:t>
      </w:r>
      <w:hyperlink r:id="rId7" w:history="1">
        <w:r w:rsidR="0099705E" w:rsidRPr="0099705E">
          <w:rPr>
            <w:rStyle w:val="Hyperlink"/>
          </w:rPr>
          <w:t>EN</w:t>
        </w:r>
      </w:hyperlink>
      <w:r w:rsidR="0099705E">
        <w:t xml:space="preserve">, </w:t>
      </w:r>
      <w:hyperlink r:id="rId8" w:history="1">
        <w:r w:rsidR="0099705E" w:rsidRPr="0099705E">
          <w:rPr>
            <w:rStyle w:val="Hyperlink"/>
          </w:rPr>
          <w:t>AR</w:t>
        </w:r>
      </w:hyperlink>
      <w:r w:rsidR="0099705E">
        <w:t>)</w:t>
      </w:r>
    </w:p>
    <w:p w:rsidR="00193946" w:rsidRPr="00193946" w:rsidRDefault="00193946">
      <w:pPr>
        <w:pStyle w:val="FootnoteText"/>
      </w:pPr>
    </w:p>
  </w:footnote>
  <w:footnote w:id="2">
    <w:p w:rsidR="00B60D73" w:rsidRDefault="00B60D73" w:rsidP="00B60D73">
      <w:pPr>
        <w:pStyle w:val="FootnoteText"/>
      </w:pPr>
      <w:r>
        <w:rPr>
          <w:rStyle w:val="FootnoteReference"/>
        </w:rPr>
        <w:footnoteRef/>
      </w:r>
      <w:r>
        <w:t xml:space="preserve"> The</w:t>
      </w:r>
      <w:hyperlink r:id="rId9" w:tgtFrame="_blank" w:history="1">
        <w:r>
          <w:rPr>
            <w:rStyle w:val="Hyperlink"/>
          </w:rPr>
          <w:t xml:space="preserve"> 'Terrorism Circuit courts'</w:t>
        </w:r>
      </w:hyperlink>
      <w:r>
        <w:t xml:space="preserve"> in Egypt, are enabling pre-trial detention as a form of punishment including against human rights defenders and journalists, such as</w:t>
      </w:r>
      <w:hyperlink r:id="rId10" w:tgtFrame="_blank" w:history="1">
        <w:r>
          <w:rPr>
            <w:rStyle w:val="Hyperlink"/>
          </w:rPr>
          <w:t xml:space="preserve"> Ibrahim </w:t>
        </w:r>
        <w:proofErr w:type="spellStart"/>
        <w:r>
          <w:rPr>
            <w:rStyle w:val="Hyperlink"/>
          </w:rPr>
          <w:t>Metwally</w:t>
        </w:r>
        <w:proofErr w:type="spellEnd"/>
      </w:hyperlink>
      <w:r>
        <w:t>,</w:t>
      </w:r>
      <w:hyperlink r:id="rId11" w:tgtFrame="_blank" w:history="1">
        <w:r>
          <w:rPr>
            <w:rStyle w:val="Hyperlink"/>
          </w:rPr>
          <w:t xml:space="preserve"> Mohamed El-</w:t>
        </w:r>
        <w:proofErr w:type="spellStart"/>
        <w:r>
          <w:rPr>
            <w:rStyle w:val="Hyperlink"/>
          </w:rPr>
          <w:t>Baqer</w:t>
        </w:r>
        <w:proofErr w:type="spellEnd"/>
        <w:r>
          <w:rPr>
            <w:rStyle w:val="Hyperlink"/>
          </w:rPr>
          <w:t xml:space="preserve"> and </w:t>
        </w:r>
        <w:proofErr w:type="spellStart"/>
        <w:r>
          <w:rPr>
            <w:rStyle w:val="Hyperlink"/>
          </w:rPr>
          <w:t>Esraa</w:t>
        </w:r>
        <w:proofErr w:type="spellEnd"/>
        <w:r>
          <w:rPr>
            <w:rStyle w:val="Hyperlink"/>
          </w:rPr>
          <w:t xml:space="preserve"> Abdel Fattah</w:t>
        </w:r>
      </w:hyperlink>
      <w:r>
        <w:t>,</w:t>
      </w:r>
      <w:hyperlink r:id="rId12" w:tgtFrame="_blank" w:history="1">
        <w:r>
          <w:rPr>
            <w:rStyle w:val="Hyperlink"/>
          </w:rPr>
          <w:t xml:space="preserve"> </w:t>
        </w:r>
        <w:proofErr w:type="spellStart"/>
        <w:r>
          <w:rPr>
            <w:rStyle w:val="Hyperlink"/>
          </w:rPr>
          <w:t>Ramy</w:t>
        </w:r>
        <w:proofErr w:type="spellEnd"/>
        <w:r>
          <w:rPr>
            <w:rStyle w:val="Hyperlink"/>
          </w:rPr>
          <w:t xml:space="preserve"> </w:t>
        </w:r>
        <w:proofErr w:type="spellStart"/>
        <w:r>
          <w:rPr>
            <w:rStyle w:val="Hyperlink"/>
          </w:rPr>
          <w:t>Kamel</w:t>
        </w:r>
        <w:proofErr w:type="spellEnd"/>
      </w:hyperlink>
      <w:r>
        <w:t>,</w:t>
      </w:r>
      <w:hyperlink r:id="rId13" w:tgtFrame="_blank" w:history="1">
        <w:r>
          <w:rPr>
            <w:rStyle w:val="Hyperlink"/>
          </w:rPr>
          <w:t xml:space="preserve"> </w:t>
        </w:r>
        <w:proofErr w:type="spellStart"/>
        <w:r>
          <w:rPr>
            <w:rStyle w:val="Hyperlink"/>
          </w:rPr>
          <w:t>Alaa</w:t>
        </w:r>
        <w:proofErr w:type="spellEnd"/>
        <w:r>
          <w:rPr>
            <w:rStyle w:val="Hyperlink"/>
          </w:rPr>
          <w:t xml:space="preserve"> Abdel-Fattah</w:t>
        </w:r>
      </w:hyperlink>
      <w:r>
        <w:t>,</w:t>
      </w:r>
      <w:hyperlink r:id="rId14" w:tgtFrame="_blank" w:history="1">
        <w:r>
          <w:rPr>
            <w:rStyle w:val="Hyperlink"/>
          </w:rPr>
          <w:t xml:space="preserve"> Patrick </w:t>
        </w:r>
        <w:proofErr w:type="spellStart"/>
        <w:r>
          <w:rPr>
            <w:rStyle w:val="Hyperlink"/>
          </w:rPr>
          <w:t>Zaky</w:t>
        </w:r>
        <w:proofErr w:type="spellEnd"/>
      </w:hyperlink>
      <w:r>
        <w:t>,</w:t>
      </w:r>
      <w:hyperlink r:id="rId15" w:tgtFrame="_blank" w:history="1">
        <w:r>
          <w:rPr>
            <w:rStyle w:val="Hyperlink"/>
          </w:rPr>
          <w:t xml:space="preserve"> </w:t>
        </w:r>
        <w:proofErr w:type="spellStart"/>
        <w:r>
          <w:rPr>
            <w:rStyle w:val="Hyperlink"/>
          </w:rPr>
          <w:t>Ramy</w:t>
        </w:r>
        <w:proofErr w:type="spellEnd"/>
        <w:r>
          <w:rPr>
            <w:rStyle w:val="Hyperlink"/>
          </w:rPr>
          <w:t xml:space="preserve"> </w:t>
        </w:r>
        <w:proofErr w:type="spellStart"/>
        <w:r>
          <w:rPr>
            <w:rStyle w:val="Hyperlink"/>
          </w:rPr>
          <w:t>Shaat</w:t>
        </w:r>
        <w:proofErr w:type="spellEnd"/>
      </w:hyperlink>
      <w:r>
        <w:t>,</w:t>
      </w:r>
      <w:hyperlink r:id="rId16" w:tgtFrame="_blank" w:history="1">
        <w:r>
          <w:rPr>
            <w:rStyle w:val="Hyperlink"/>
          </w:rPr>
          <w:t xml:space="preserve"> </w:t>
        </w:r>
        <w:proofErr w:type="spellStart"/>
        <w:r>
          <w:rPr>
            <w:rStyle w:val="Hyperlink"/>
          </w:rPr>
          <w:t>Eman</w:t>
        </w:r>
        <w:proofErr w:type="spellEnd"/>
        <w:r>
          <w:rPr>
            <w:rStyle w:val="Hyperlink"/>
          </w:rPr>
          <w:t xml:space="preserve"> Al-</w:t>
        </w:r>
        <w:proofErr w:type="spellStart"/>
        <w:r>
          <w:rPr>
            <w:rStyle w:val="Hyperlink"/>
          </w:rPr>
          <w:t>Helw</w:t>
        </w:r>
        <w:proofErr w:type="spellEnd"/>
      </w:hyperlink>
      <w:r>
        <w:t>,</w:t>
      </w:r>
      <w:hyperlink r:id="rId17" w:tgtFrame="_blank" w:history="1">
        <w:r>
          <w:rPr>
            <w:rStyle w:val="Hyperlink"/>
          </w:rPr>
          <w:t xml:space="preserve"> </w:t>
        </w:r>
        <w:proofErr w:type="spellStart"/>
        <w:r>
          <w:rPr>
            <w:rStyle w:val="Hyperlink"/>
          </w:rPr>
          <w:t>Solafa</w:t>
        </w:r>
        <w:proofErr w:type="spellEnd"/>
        <w:r>
          <w:rPr>
            <w:rStyle w:val="Hyperlink"/>
          </w:rPr>
          <w:t xml:space="preserve"> </w:t>
        </w:r>
        <w:proofErr w:type="spellStart"/>
        <w:r>
          <w:rPr>
            <w:rStyle w:val="Hyperlink"/>
          </w:rPr>
          <w:t>Magdy</w:t>
        </w:r>
        <w:proofErr w:type="spellEnd"/>
        <w:r>
          <w:rPr>
            <w:rStyle w:val="Hyperlink"/>
          </w:rPr>
          <w:t xml:space="preserve"> and </w:t>
        </w:r>
        <w:proofErr w:type="spellStart"/>
        <w:r>
          <w:rPr>
            <w:rStyle w:val="Hyperlink"/>
          </w:rPr>
          <w:t>Hossam</w:t>
        </w:r>
        <w:proofErr w:type="spellEnd"/>
        <w:r>
          <w:rPr>
            <w:rStyle w:val="Hyperlink"/>
          </w:rPr>
          <w:t xml:space="preserve"> El-Sayed</w:t>
        </w:r>
      </w:hyperlink>
      <w:r>
        <w:t xml:space="preserve">. Once the terrorism courts resumed after they </w:t>
      </w:r>
      <w:proofErr w:type="gramStart"/>
      <w:r>
        <w:t>were suspended</w:t>
      </w:r>
      <w:proofErr w:type="gramEnd"/>
      <w:r>
        <w:t xml:space="preserve"> due to COVID-19, they renewed their detention retroactively.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064" w:rsidRDefault="00272064" w:rsidP="00775836">
    <w:pPr>
      <w:pStyle w:val="Header"/>
      <w:tabs>
        <w:tab w:val="clear" w:pos="9360"/>
        <w:tab w:val="left" w:pos="7190"/>
      </w:tabs>
    </w:pPr>
    <w:r>
      <w:rPr>
        <w:noProof/>
      </w:rPr>
      <w:drawing>
        <wp:inline distT="0" distB="0" distL="0" distR="0">
          <wp:extent cx="2708186" cy="5454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hr_logo_colour.jpg"/>
                  <pic:cNvPicPr/>
                </pic:nvPicPr>
                <pic:blipFill>
                  <a:blip r:embed="rId1">
                    <a:extLst>
                      <a:ext uri="{28A0092B-C50C-407E-A947-70E740481C1C}">
                        <a14:useLocalDpi xmlns:a14="http://schemas.microsoft.com/office/drawing/2010/main" val="0"/>
                      </a:ext>
                    </a:extLst>
                  </a:blip>
                  <a:stretch>
                    <a:fillRect/>
                  </a:stretch>
                </pic:blipFill>
                <pic:spPr>
                  <a:xfrm>
                    <a:off x="0" y="0"/>
                    <a:ext cx="2714225" cy="546681"/>
                  </a:xfrm>
                  <a:prstGeom prst="rect">
                    <a:avLst/>
                  </a:prstGeom>
                </pic:spPr>
              </pic:pic>
            </a:graphicData>
          </a:graphic>
        </wp:inline>
      </w:drawing>
    </w:r>
    <w:r w:rsidR="00775836">
      <w:rPr>
        <w:noProof/>
      </w:rPr>
      <w:t xml:space="preserve"> </w:t>
    </w:r>
    <w:r w:rsidR="00775836">
      <w:rPr>
        <w:noProof/>
      </w:rPr>
      <w:drawing>
        <wp:inline distT="0" distB="0" distL="0" distR="0" wp14:anchorId="7F18D294" wp14:editId="76536858">
          <wp:extent cx="962482" cy="1009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ior_Institute_HR_Studie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0974" cy="1018558"/>
                  </a:xfrm>
                  <a:prstGeom prst="rect">
                    <a:avLst/>
                  </a:prstGeom>
                </pic:spPr>
              </pic:pic>
            </a:graphicData>
          </a:graphic>
        </wp:inline>
      </w:drawing>
    </w:r>
    <w:r w:rsidR="00775836">
      <w:rPr>
        <w:noProof/>
      </w:rPr>
      <w:t xml:space="preserve"> </w:t>
    </w:r>
    <w:r w:rsidR="00775836">
      <w:rPr>
        <w:noProof/>
      </w:rPr>
      <w:drawing>
        <wp:inline distT="0" distB="0" distL="0" distR="0">
          <wp:extent cx="705973" cy="946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zra.jpeg"/>
                  <pic:cNvPicPr/>
                </pic:nvPicPr>
                <pic:blipFill>
                  <a:blip r:embed="rId3">
                    <a:extLst>
                      <a:ext uri="{28A0092B-C50C-407E-A947-70E740481C1C}">
                        <a14:useLocalDpi xmlns:a14="http://schemas.microsoft.com/office/drawing/2010/main" val="0"/>
                      </a:ext>
                    </a:extLst>
                  </a:blip>
                  <a:stretch>
                    <a:fillRect/>
                  </a:stretch>
                </pic:blipFill>
                <pic:spPr>
                  <a:xfrm>
                    <a:off x="0" y="0"/>
                    <a:ext cx="715236" cy="958565"/>
                  </a:xfrm>
                  <a:prstGeom prst="rect">
                    <a:avLst/>
                  </a:prstGeom>
                </pic:spPr>
              </pic:pic>
            </a:graphicData>
          </a:graphic>
        </wp:inline>
      </w:drawing>
    </w:r>
    <w:r w:rsidR="00FB7542">
      <w:rPr>
        <w:noProof/>
      </w:rPr>
      <w:drawing>
        <wp:inline distT="0" distB="0" distL="0" distR="0">
          <wp:extent cx="1397000" cy="4889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mid.png"/>
                  <pic:cNvPicPr/>
                </pic:nvPicPr>
                <pic:blipFill>
                  <a:blip r:embed="rId4">
                    <a:extLst>
                      <a:ext uri="{28A0092B-C50C-407E-A947-70E740481C1C}">
                        <a14:useLocalDpi xmlns:a14="http://schemas.microsoft.com/office/drawing/2010/main" val="0"/>
                      </a:ext>
                    </a:extLst>
                  </a:blip>
                  <a:stretch>
                    <a:fillRect/>
                  </a:stretch>
                </pic:blipFill>
                <pic:spPr>
                  <a:xfrm>
                    <a:off x="0" y="0"/>
                    <a:ext cx="1406826" cy="4923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A4072"/>
    <w:multiLevelType w:val="hybridMultilevel"/>
    <w:tmpl w:val="199827A2"/>
    <w:lvl w:ilvl="0" w:tplc="67220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B8F6598"/>
    <w:multiLevelType w:val="hybridMultilevel"/>
    <w:tmpl w:val="96DE6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874"/>
    <w:rsid w:val="00002AE3"/>
    <w:rsid w:val="00047946"/>
    <w:rsid w:val="00052B8F"/>
    <w:rsid w:val="00070277"/>
    <w:rsid w:val="000C2BF7"/>
    <w:rsid w:val="000E03F6"/>
    <w:rsid w:val="000F0C0B"/>
    <w:rsid w:val="00143C5F"/>
    <w:rsid w:val="00180196"/>
    <w:rsid w:val="00193946"/>
    <w:rsid w:val="0020508B"/>
    <w:rsid w:val="002121B6"/>
    <w:rsid w:val="00272064"/>
    <w:rsid w:val="002B093C"/>
    <w:rsid w:val="002F6346"/>
    <w:rsid w:val="00307716"/>
    <w:rsid w:val="00317547"/>
    <w:rsid w:val="003449CD"/>
    <w:rsid w:val="00346954"/>
    <w:rsid w:val="003C2BAF"/>
    <w:rsid w:val="003F5B00"/>
    <w:rsid w:val="0042457D"/>
    <w:rsid w:val="004504B8"/>
    <w:rsid w:val="0045518C"/>
    <w:rsid w:val="00481ACF"/>
    <w:rsid w:val="004A0AF6"/>
    <w:rsid w:val="005846F0"/>
    <w:rsid w:val="005B6E79"/>
    <w:rsid w:val="005C0AA0"/>
    <w:rsid w:val="005C1A05"/>
    <w:rsid w:val="006961D7"/>
    <w:rsid w:val="006F5EE0"/>
    <w:rsid w:val="00701DB8"/>
    <w:rsid w:val="00703CB0"/>
    <w:rsid w:val="00775836"/>
    <w:rsid w:val="0089312D"/>
    <w:rsid w:val="00932F40"/>
    <w:rsid w:val="00956B4F"/>
    <w:rsid w:val="00960D22"/>
    <w:rsid w:val="00977ECA"/>
    <w:rsid w:val="0099705E"/>
    <w:rsid w:val="00A21506"/>
    <w:rsid w:val="00B245D3"/>
    <w:rsid w:val="00B60D73"/>
    <w:rsid w:val="00B83B99"/>
    <w:rsid w:val="00B95FD5"/>
    <w:rsid w:val="00CA0159"/>
    <w:rsid w:val="00CF0874"/>
    <w:rsid w:val="00D01B6D"/>
    <w:rsid w:val="00D23120"/>
    <w:rsid w:val="00D527F6"/>
    <w:rsid w:val="00DD549E"/>
    <w:rsid w:val="00DE6F74"/>
    <w:rsid w:val="00E25379"/>
    <w:rsid w:val="00E5733F"/>
    <w:rsid w:val="00E62145"/>
    <w:rsid w:val="00EC5CDA"/>
    <w:rsid w:val="00EC6F9C"/>
    <w:rsid w:val="00F16DF7"/>
    <w:rsid w:val="00F23EBB"/>
    <w:rsid w:val="00F93B86"/>
    <w:rsid w:val="00FB75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CC672"/>
  <w15:chartTrackingRefBased/>
  <w15:docId w15:val="{A99284FB-2D1A-4F53-84A9-8FFB7E8BA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196"/>
    <w:pPr>
      <w:ind w:left="720"/>
      <w:contextualSpacing/>
    </w:pPr>
  </w:style>
  <w:style w:type="character" w:customStyle="1" w:styleId="lblnewsfulltext">
    <w:name w:val="lblnewsfulltext"/>
    <w:basedOn w:val="DefaultParagraphFont"/>
    <w:rsid w:val="000C2BF7"/>
  </w:style>
  <w:style w:type="character" w:styleId="Hyperlink">
    <w:name w:val="Hyperlink"/>
    <w:basedOn w:val="DefaultParagraphFont"/>
    <w:uiPriority w:val="99"/>
    <w:unhideWhenUsed/>
    <w:rsid w:val="000C2BF7"/>
    <w:rPr>
      <w:color w:val="0563C1" w:themeColor="hyperlink"/>
      <w:u w:val="single"/>
    </w:rPr>
  </w:style>
  <w:style w:type="paragraph" w:styleId="FootnoteText">
    <w:name w:val="footnote text"/>
    <w:basedOn w:val="Normal"/>
    <w:link w:val="FootnoteTextChar"/>
    <w:uiPriority w:val="99"/>
    <w:semiHidden/>
    <w:unhideWhenUsed/>
    <w:rsid w:val="001939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3946"/>
    <w:rPr>
      <w:sz w:val="20"/>
      <w:szCs w:val="20"/>
    </w:rPr>
  </w:style>
  <w:style w:type="character" w:styleId="FootnoteReference">
    <w:name w:val="footnote reference"/>
    <w:basedOn w:val="DefaultParagraphFont"/>
    <w:uiPriority w:val="99"/>
    <w:semiHidden/>
    <w:unhideWhenUsed/>
    <w:rsid w:val="00193946"/>
    <w:rPr>
      <w:vertAlign w:val="superscript"/>
    </w:rPr>
  </w:style>
  <w:style w:type="paragraph" w:styleId="Header">
    <w:name w:val="header"/>
    <w:basedOn w:val="Normal"/>
    <w:link w:val="HeaderChar"/>
    <w:uiPriority w:val="99"/>
    <w:unhideWhenUsed/>
    <w:rsid w:val="00B95F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FD5"/>
  </w:style>
  <w:style w:type="paragraph" w:styleId="Footer">
    <w:name w:val="footer"/>
    <w:basedOn w:val="Normal"/>
    <w:link w:val="FooterChar"/>
    <w:uiPriority w:val="99"/>
    <w:unhideWhenUsed/>
    <w:rsid w:val="00B95F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en/A/HRC/44/37" TargetMode="External"/><Relationship Id="rId13" Type="http://schemas.openxmlformats.org/officeDocument/2006/relationships/hyperlink" Target="https://undocs.org/A/HRC/RES/42/3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hchr.org/EN/NewsEvents/Pages/DisplayNews.aspx?NewsID=25772&amp;LangI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hrs.org/egypt-human-rights-organizations-condemn-public-prosecutors-inaction-after-sanaa-seifs-abduction-and-demand-her-immediate-release/?lang=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ohchr.org/en/NewsEvents/Pages/DisplayNews.aspx?NewsID=25217&amp;LangID=E" TargetMode="External"/><Relationship Id="rId4" Type="http://schemas.openxmlformats.org/officeDocument/2006/relationships/settings" Target="settings.xml"/><Relationship Id="rId9" Type="http://schemas.openxmlformats.org/officeDocument/2006/relationships/hyperlink" Target="https://spcommreports.ohchr.org/TMResultsBase/DownLoadPublicCommunicationFile?gId=25031" TargetMode="External"/><Relationship Id="rId14" Type="http://schemas.openxmlformats.org/officeDocument/2006/relationships/hyperlink" Target="https://www.ishr.ch/news/hrc44-key-issues-agenda-june-2020-sessio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cihrs.org/%d9%85%d9%86%d8%b8%d9%85%d8%a7%d8%aa-%d8%ad%d9%82%d9%88%d9%82%d9%8a%d8%a9-%d8%aa%d8%b7%d8%a7%d9%84%d8%a8-%d8%a7%d9%84%d8%b5%d9%84%d9%8a%d8%a8-%d8%a7%d9%84%d8%a3%d8%ad%d9%85%d8%b1-%d8%a8%d8%aa%d9%81/" TargetMode="External"/><Relationship Id="rId13" Type="http://schemas.openxmlformats.org/officeDocument/2006/relationships/hyperlink" Target="https://spcommreports.ohchr.org/TMResultsBase/DownLoadPublicCommunicationFile?gId=24910" TargetMode="External"/><Relationship Id="rId3" Type="http://schemas.openxmlformats.org/officeDocument/2006/relationships/hyperlink" Target="https://egyptianfront.org/research/analytical-reports/forgotten-in-al-qanater-violating-rights-of-women-detained-inside-al-qanater-prison/" TargetMode="External"/><Relationship Id="rId7" Type="http://schemas.openxmlformats.org/officeDocument/2006/relationships/hyperlink" Target="https://cihrs.org/egypt-rights-groups-renew-demand-for-red-cross-oversight-of-prisons/?lang=en" TargetMode="External"/><Relationship Id="rId12" Type="http://schemas.openxmlformats.org/officeDocument/2006/relationships/hyperlink" Target="https://spcommreports.ohchr.org/TMResultsBase/DownLoadPublicCommunicationFile?gId=24984" TargetMode="External"/><Relationship Id="rId17" Type="http://schemas.openxmlformats.org/officeDocument/2006/relationships/hyperlink" Target="https://spcommreports.ohchr.org/TMResultsBase/DownLoadPublicCommunicationFile?gId=25031" TargetMode="External"/><Relationship Id="rId2" Type="http://schemas.openxmlformats.org/officeDocument/2006/relationships/hyperlink" Target="https://nazra.org/2020/03/%D9%85%D9%82%D8%AA%D8%B1%D8%AD-%D8%AA%D8%AF%D8%A7%D8%A8%D9%8A%D8%B1-%D8%B9%D8%A7%D8%AC%D9%84%D8%A9-%D8%A8%D8%B4%D8%A3%D9%86-%D8%A7%D9%84%D8%B3%D8%AC%D9%8A%D9%86%D8%A7%D8%AA-%D8%A7%D9%84%D9%85%D8%B5%D8%B1%D9%8A%D8%A7%D8%AA-%D8%B9%D9%84%D9%89-%D8%AE%D9%84%D9%81%D9%8A%D8%A9-%D8%AA%D9%81%D8%B4%D9%8A-%D9%88%D8%A8%D8%A7%D8%A1-%D9%83%D9%88%D8%B1%D9%88%D9%86%D8%A7-%D8%A7%D9%84%D9%85%D8%B3%D8%AA%D8%AC%D8%AF" TargetMode="External"/><Relationship Id="rId16" Type="http://schemas.openxmlformats.org/officeDocument/2006/relationships/hyperlink" Target="https://spcommreports.ohchr.org/TMResultsBase/DownLoadPublicCommunicationFile?gId=24972" TargetMode="External"/><Relationship Id="rId1" Type="http://schemas.openxmlformats.org/officeDocument/2006/relationships/hyperlink" Target="https://nazra.org/en/2020/03/proposal-urgent-measures-concerning-egyptian-women-prisoners-light-covid-19-pandemic" TargetMode="External"/><Relationship Id="rId6" Type="http://schemas.openxmlformats.org/officeDocument/2006/relationships/hyperlink" Target="https://cihrs.org/%d9%85%d9%86%d8%b8%d9%85%d8%a7%d8%aa-%d8%ad%d9%82%d9%88%d9%82%d9%8a%d8%a9-%d9%85%d8%b5%d8%b1%d9%8a%d8%a9-%d8%aa%d8%b7%d8%a7%d9%84%d8%a8-%d8%a7%d9%84%d8%b3%d9%84%d8%b7%d8%a7%d8%aa-%d8%a7%d9%84%d9%85/" TargetMode="External"/><Relationship Id="rId11" Type="http://schemas.openxmlformats.org/officeDocument/2006/relationships/hyperlink" Target="https://www.ohchr.org/en/NewsEvents/Pages/DisplayNews.aspx?NewsID=25217&amp;LangID=E" TargetMode="External"/><Relationship Id="rId5" Type="http://schemas.openxmlformats.org/officeDocument/2006/relationships/hyperlink" Target="https://cihrs.org/egypt-overcrowded-prisons-will-become-epicenters-of-coronavirus-outbreak-unless-some-detainees-immediately-released/?lang=en" TargetMode="External"/><Relationship Id="rId15" Type="http://schemas.openxmlformats.org/officeDocument/2006/relationships/hyperlink" Target="https://spcommreports.ohchr.org/TMResultsBase/DownLoadPublicCommunicationFile?gId=24876" TargetMode="External"/><Relationship Id="rId10" Type="http://schemas.openxmlformats.org/officeDocument/2006/relationships/hyperlink" Target="https://spcommreports.ohchr.org/TMResultsBase/DownLoadPublicCommunicationFile?gId=24942" TargetMode="External"/><Relationship Id="rId4" Type="http://schemas.openxmlformats.org/officeDocument/2006/relationships/hyperlink" Target="https://egyptianfront.org/ar/2019/12/forgotten-in-al-qanater/" TargetMode="External"/><Relationship Id="rId9" Type="http://schemas.openxmlformats.org/officeDocument/2006/relationships/hyperlink" Target="https://egyptianfront.org/brief/reports/role-of-the-terrorism-circuit-courts-in-enabling-pre-trial-detention-as-a-form-of-punishment/" TargetMode="External"/><Relationship Id="rId14" Type="http://schemas.openxmlformats.org/officeDocument/2006/relationships/hyperlink" Target="https://spcommreports.ohchr.org/TMResultsBase/DownLoadPublicCommunicationFile?gId=25136"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F5D94-58AA-492A-8A59-7961E434E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4</cp:revision>
  <cp:lastPrinted>2020-07-14T09:46:00Z</cp:lastPrinted>
  <dcterms:created xsi:type="dcterms:W3CDTF">2020-07-10T09:42:00Z</dcterms:created>
  <dcterms:modified xsi:type="dcterms:W3CDTF">2020-07-14T09:46:00Z</dcterms:modified>
</cp:coreProperties>
</file>